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45F0733" w:rsidR="00A70556" w:rsidRDefault="00F55250" w:rsidP="0034573D">
            <w:pPr>
              <w:spacing w:after="0" w:line="276" w:lineRule="auto"/>
            </w:pPr>
            <w:r>
              <w:t>Telebachillerato Comunitario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F55250" w14:paraId="1D014C1E" w14:textId="77777777" w:rsidTr="009F4211">
        <w:trPr>
          <w:trHeight w:val="340"/>
        </w:trPr>
        <w:tc>
          <w:tcPr>
            <w:tcW w:w="4712" w:type="dxa"/>
            <w:gridSpan w:val="2"/>
            <w:shd w:val="clear" w:color="auto" w:fill="auto"/>
            <w:vAlign w:val="center"/>
          </w:tcPr>
          <w:p w14:paraId="404D8B68" w14:textId="13E435B3" w:rsidR="00B861E0" w:rsidRPr="00F55250" w:rsidRDefault="00F55250" w:rsidP="00A123E6">
            <w:pPr>
              <w:spacing w:after="0" w:line="276" w:lineRule="auto"/>
              <w:jc w:val="center"/>
            </w:pPr>
            <w:r w:rsidRPr="00F55250">
              <w:t>01/01/2025</w:t>
            </w:r>
          </w:p>
        </w:tc>
        <w:tc>
          <w:tcPr>
            <w:tcW w:w="5206" w:type="dxa"/>
            <w:gridSpan w:val="2"/>
            <w:shd w:val="clear" w:color="auto" w:fill="auto"/>
            <w:vAlign w:val="center"/>
          </w:tcPr>
          <w:p w14:paraId="79E9E4F4" w14:textId="2E452B82" w:rsidR="00B861E0" w:rsidRPr="00F55250" w:rsidRDefault="00F55250" w:rsidP="00A123E6">
            <w:pPr>
              <w:spacing w:after="0" w:line="276" w:lineRule="auto"/>
              <w:jc w:val="center"/>
            </w:pPr>
            <w:r w:rsidRPr="00F55250">
              <w:t>01/07/2025</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F55250" w14:paraId="37454C6A" w14:textId="77777777" w:rsidTr="00E06043">
        <w:trPr>
          <w:trHeight w:val="340"/>
        </w:trPr>
        <w:tc>
          <w:tcPr>
            <w:tcW w:w="9918" w:type="dxa"/>
            <w:gridSpan w:val="4"/>
            <w:shd w:val="clear" w:color="auto" w:fill="auto"/>
          </w:tcPr>
          <w:p w14:paraId="78C4F704" w14:textId="57EBC57B" w:rsidR="009F4211" w:rsidRPr="00F55250" w:rsidRDefault="00F55250" w:rsidP="009F4211">
            <w:pPr>
              <w:pStyle w:val="Prrafodelista"/>
              <w:spacing w:after="0" w:line="276" w:lineRule="auto"/>
              <w:ind w:left="37"/>
              <w:jc w:val="both"/>
            </w:pPr>
            <w:r w:rsidRPr="00F55250">
              <w:t>Psic. Gabriela Soto Miller, Responsable del SIGED,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35E8AA1" w:rsidR="00B920F2" w:rsidRDefault="00F55250" w:rsidP="00521401">
      <w:pPr>
        <w:pStyle w:val="Prrafodelista"/>
        <w:spacing w:after="0" w:line="276" w:lineRule="auto"/>
        <w:ind w:left="142"/>
        <w:jc w:val="both"/>
      </w:pPr>
      <w:r w:rsidRPr="00F55250">
        <w:t>Contar con una valoración del desempeño de E050 Telebachillerato Comunitario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BD77238" w14:textId="77777777" w:rsidR="00F55250" w:rsidRDefault="00F55250" w:rsidP="00F55250">
      <w:pPr>
        <w:pStyle w:val="Prrafodelista"/>
        <w:numPr>
          <w:ilvl w:val="0"/>
          <w:numId w:val="2"/>
        </w:numPr>
        <w:spacing w:after="0" w:line="276" w:lineRule="auto"/>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2345BEBD" w14:textId="77777777" w:rsidR="00F55250" w:rsidRDefault="00F55250" w:rsidP="00F55250">
      <w:pPr>
        <w:pStyle w:val="Prrafodelista"/>
        <w:numPr>
          <w:ilvl w:val="0"/>
          <w:numId w:val="2"/>
        </w:numPr>
        <w:spacing w:after="0" w:line="276" w:lineRule="auto"/>
        <w:jc w:val="both"/>
      </w:pPr>
      <w:r>
        <w:t>Analizar el avance de las metas de los indicadores de la Matriz de Indicadores para Resultados (MIR) en el ejercicio fiscal 2024, respecto de años anteriores y el avance en relación con las metas establecidas;</w:t>
      </w:r>
    </w:p>
    <w:p w14:paraId="45B31DD2" w14:textId="77777777" w:rsidR="00F55250" w:rsidRDefault="00F55250" w:rsidP="00F55250">
      <w:pPr>
        <w:pStyle w:val="Prrafodelista"/>
        <w:numPr>
          <w:ilvl w:val="0"/>
          <w:numId w:val="2"/>
        </w:numPr>
        <w:spacing w:after="0" w:line="276" w:lineRule="auto"/>
        <w:jc w:val="both"/>
      </w:pPr>
      <w:r>
        <w:t>Identificar los principales aspectos susceptibles de mejora del programa;</w:t>
      </w:r>
    </w:p>
    <w:p w14:paraId="038BCDDF" w14:textId="77777777" w:rsidR="00F55250" w:rsidRDefault="00F55250" w:rsidP="00F55250">
      <w:pPr>
        <w:pStyle w:val="Prrafodelista"/>
        <w:numPr>
          <w:ilvl w:val="0"/>
          <w:numId w:val="2"/>
        </w:numPr>
        <w:spacing w:after="0" w:line="276" w:lineRule="auto"/>
        <w:jc w:val="both"/>
      </w:pPr>
      <w:r>
        <w:t>Analizar la evolución de la cobertura y el presupuesto del programa;</w:t>
      </w:r>
    </w:p>
    <w:p w14:paraId="2565898E" w14:textId="77777777" w:rsidR="00F55250" w:rsidRDefault="00F55250" w:rsidP="00F55250">
      <w:pPr>
        <w:pStyle w:val="Prrafodelista"/>
        <w:numPr>
          <w:ilvl w:val="0"/>
          <w:numId w:val="2"/>
        </w:numPr>
        <w:spacing w:after="0" w:line="276" w:lineRule="auto"/>
        <w:jc w:val="both"/>
      </w:pPr>
      <w:r>
        <w:t>Identificar las fortalezas, los retos y las recomendaciones del programa;</w:t>
      </w:r>
    </w:p>
    <w:p w14:paraId="2CCD5C65" w14:textId="435AC023" w:rsidR="009B7088" w:rsidRDefault="00F55250" w:rsidP="00F55250">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54425041"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F55250">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24BC958" w:rsidR="00581B4A" w:rsidRPr="00581B4A" w:rsidRDefault="00EC7832" w:rsidP="00090637">
            <w:pPr>
              <w:spacing w:after="0" w:line="276" w:lineRule="auto"/>
              <w:jc w:val="center"/>
              <w:rPr>
                <w:b/>
                <w:bCs/>
              </w:rPr>
            </w:pPr>
            <w:r>
              <w:t>d</w:t>
            </w:r>
            <w:r w:rsidR="0034573D">
              <w:t xml:space="preserve">e </w:t>
            </w:r>
            <w:r w:rsidR="00F55250">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D6C11EB" w14:textId="77777777" w:rsidR="00F55250" w:rsidRDefault="00F55250" w:rsidP="00F55250">
      <w:pPr>
        <w:jc w:val="both"/>
      </w:pPr>
      <w:r>
        <w:t>El Pp E050 TBC tiene como objetivo estratégico o Fin el “Contribuir a elevar la eficiencia terminal en Educación Media Superior en Escuelas Públicas de Sinaloa (EMSEPS) mediante el servicio de Telebachillerato Comunitario (TBC)”.</w:t>
      </w:r>
    </w:p>
    <w:p w14:paraId="76A64F9A" w14:textId="25F83B97" w:rsidR="00113BCD" w:rsidRDefault="00F55250" w:rsidP="00F55250">
      <w:pPr>
        <w:jc w:val="both"/>
      </w:pPr>
      <w:r>
        <w:t>El objetivo específico o Propósito se planteó de la siguiente manera: los alumnos de Telebachillerato Comunitario en Sinaloa concluyen con un 96% el grado del ciclo escolar vigente, a fin de reducir el abandono escolar.</w:t>
      </w:r>
    </w:p>
    <w:p w14:paraId="5054C919" w14:textId="36DF34A2" w:rsidR="00F55250" w:rsidRPr="002F6A18" w:rsidRDefault="00F55250" w:rsidP="00F55250">
      <w:pPr>
        <w:jc w:val="both"/>
      </w:pPr>
      <w:r w:rsidRPr="00F55250">
        <w:t>El Pp ofrece dos principales servicios; el primero consiste en ofrecer espacios educativos para el servicio del Pp E050 Telebachillerato Comunitario en Sinaloa;  el segundo componente o servicio es asignar docentes en los centros educativos con Telebachillerato Comunitario en Sinaloa.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3A39C1FA" w14:textId="1A57DFBD" w:rsidR="003E1018" w:rsidRPr="00D20757" w:rsidRDefault="00B72B03" w:rsidP="00235B69">
      <w:pPr>
        <w:pStyle w:val="Prrafodelista"/>
        <w:numPr>
          <w:ilvl w:val="2"/>
          <w:numId w:val="5"/>
        </w:numPr>
        <w:spacing w:after="0" w:line="276" w:lineRule="auto"/>
        <w:ind w:left="993" w:hanging="567"/>
        <w:jc w:val="both"/>
        <w:rPr>
          <w:b/>
          <w:bCs/>
        </w:rPr>
      </w:pPr>
      <w:r w:rsidRPr="00D20757">
        <w:rPr>
          <w:b/>
          <w:bCs/>
        </w:rPr>
        <w:t>Fortalezas</w:t>
      </w:r>
      <w:r w:rsidR="00D20757">
        <w:rPr>
          <w:b/>
          <w:bCs/>
        </w:rPr>
        <w:t xml:space="preserve"> y </w:t>
      </w:r>
      <w:r w:rsidR="003E1018" w:rsidRPr="00D20757">
        <w:rPr>
          <w:b/>
          <w:bCs/>
        </w:rPr>
        <w:t xml:space="preserve">Oportunidades: </w:t>
      </w:r>
    </w:p>
    <w:p w14:paraId="12DAB21F" w14:textId="77777777" w:rsidR="002C12EB" w:rsidRDefault="002C12EB" w:rsidP="002C12EB">
      <w:pPr>
        <w:pStyle w:val="Prrafodelista"/>
        <w:numPr>
          <w:ilvl w:val="0"/>
          <w:numId w:val="8"/>
        </w:numPr>
        <w:spacing w:line="276" w:lineRule="auto"/>
        <w:jc w:val="both"/>
      </w:pPr>
      <w:r>
        <w:t>El servicio va dirigido a la población objetivo vulnerable, preponderantemente de escasos recursos económicos, cuyas familias tienden a buscar mejores oportunidades laborales, económicas y de mayor seguridad, anteponiéndolo a la educación.</w:t>
      </w:r>
    </w:p>
    <w:p w14:paraId="6AF01578" w14:textId="77777777" w:rsidR="002C12EB" w:rsidRDefault="002C12EB" w:rsidP="002C12EB">
      <w:pPr>
        <w:pStyle w:val="Prrafodelista"/>
        <w:numPr>
          <w:ilvl w:val="0"/>
          <w:numId w:val="8"/>
        </w:numPr>
        <w:spacing w:line="276" w:lineRule="auto"/>
        <w:jc w:val="both"/>
      </w:pPr>
      <w:r>
        <w:t>Se ofrecen espacios para brindar la educación media superior, lo que significa una gran oportunidad para lograr los propósitos del sector educativo.</w:t>
      </w:r>
    </w:p>
    <w:p w14:paraId="17747E01" w14:textId="77777777" w:rsidR="002C12EB" w:rsidRDefault="002C12EB" w:rsidP="002C12EB">
      <w:pPr>
        <w:pStyle w:val="Prrafodelista"/>
        <w:numPr>
          <w:ilvl w:val="0"/>
          <w:numId w:val="8"/>
        </w:numPr>
        <w:spacing w:line="276" w:lineRule="auto"/>
        <w:jc w:val="both"/>
      </w:pPr>
      <w:r>
        <w:t>Es necesario manejar un buzón de quejas y denuncias para la población atendida.</w:t>
      </w:r>
    </w:p>
    <w:p w14:paraId="6B12A4EF" w14:textId="77777777" w:rsidR="002C12EB" w:rsidRDefault="002C12EB" w:rsidP="002C12EB">
      <w:pPr>
        <w:pStyle w:val="Prrafodelista"/>
        <w:numPr>
          <w:ilvl w:val="0"/>
          <w:numId w:val="8"/>
        </w:numPr>
        <w:spacing w:line="276" w:lineRule="auto"/>
        <w:jc w:val="both"/>
      </w:pPr>
      <w:r>
        <w:t>Contar con un método para conocer la satisfacción de beneficiarios.</w:t>
      </w:r>
    </w:p>
    <w:p w14:paraId="454E43FC" w14:textId="77777777" w:rsidR="002C12EB" w:rsidRDefault="002C12EB" w:rsidP="002C12EB">
      <w:pPr>
        <w:pStyle w:val="Prrafodelista"/>
        <w:numPr>
          <w:ilvl w:val="0"/>
          <w:numId w:val="8"/>
        </w:numPr>
        <w:spacing w:line="276" w:lineRule="auto"/>
        <w:jc w:val="both"/>
      </w:pPr>
      <w:r>
        <w:t>Recabar la información respecto a la población total atendida mediante un reporte, para corroborar dichos datos.</w:t>
      </w:r>
    </w:p>
    <w:p w14:paraId="22DADFD3" w14:textId="3B672249" w:rsidR="003E1018" w:rsidRPr="00D20757" w:rsidRDefault="003E1018" w:rsidP="00E46732">
      <w:pPr>
        <w:pStyle w:val="Prrafodelista"/>
        <w:numPr>
          <w:ilvl w:val="2"/>
          <w:numId w:val="5"/>
        </w:numPr>
        <w:spacing w:after="0" w:line="276" w:lineRule="auto"/>
        <w:ind w:left="993" w:hanging="567"/>
        <w:jc w:val="both"/>
        <w:rPr>
          <w:b/>
          <w:bCs/>
        </w:rPr>
      </w:pPr>
      <w:r w:rsidRPr="00D20757">
        <w:rPr>
          <w:b/>
          <w:bCs/>
        </w:rPr>
        <w:t>Debilidades</w:t>
      </w:r>
      <w:r w:rsidR="00D20757" w:rsidRPr="00D20757">
        <w:rPr>
          <w:b/>
          <w:bCs/>
        </w:rPr>
        <w:t xml:space="preserve"> </w:t>
      </w:r>
      <w:r w:rsidR="00D20757">
        <w:rPr>
          <w:b/>
          <w:bCs/>
        </w:rPr>
        <w:t xml:space="preserve">y </w:t>
      </w:r>
      <w:r w:rsidRPr="00D20757">
        <w:rPr>
          <w:b/>
          <w:bCs/>
        </w:rPr>
        <w:t>Amenazas:</w:t>
      </w:r>
    </w:p>
    <w:p w14:paraId="594C01C3" w14:textId="77777777" w:rsidR="002C12EB" w:rsidRPr="002C12EB" w:rsidRDefault="002C12EB" w:rsidP="002C12EB">
      <w:pPr>
        <w:pStyle w:val="Prrafodelista"/>
        <w:numPr>
          <w:ilvl w:val="0"/>
          <w:numId w:val="8"/>
        </w:numPr>
        <w:jc w:val="both"/>
      </w:pPr>
      <w:r w:rsidRPr="002C12EB">
        <w:t>No es posible obviar que, la situación de seguridad frágil que se vive actualmente, conduce a la resistencia de los docentes a ofrecer sus servicios en zonas apartadas, donde precisamente se encuentran los centros educativos del Pp E050 de TBC. Aunado a ello, se detecta un incremento en la migración forzada de la población. Estos factores externos acentúan los retos a los que se enfrenta el Telebachillerato.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0DC560DA" w:rsidR="00113BCD" w:rsidRDefault="002C12EB" w:rsidP="002C12EB">
      <w:pPr>
        <w:rPr>
          <w:lang w:val="es-ES"/>
        </w:rPr>
      </w:pPr>
      <w:r w:rsidRPr="002C12EB">
        <w:rPr>
          <w:lang w:val="es-ES"/>
        </w:rPr>
        <w:t>Al observar el comportamiento de la eficiencia terminal, en el ciclo escolar 2021-2022 se registró un descenso, atribuible a los efectos de la pandemia de COVID 19, como posible causa. Para los ciclos escolares siguientes, una vez que entró en operación el Pp de TBC, se presentan incrementos sucesivos en este indicador, así como mayor permanencia del alumnado.</w:t>
      </w:r>
    </w:p>
    <w:p w14:paraId="5931F092" w14:textId="7A5B9B50" w:rsidR="002C12EB" w:rsidRDefault="002C12EB" w:rsidP="002C12EB">
      <w:pPr>
        <w:rPr>
          <w:lang w:val="es-ES"/>
        </w:rPr>
      </w:pPr>
      <w:r w:rsidRPr="002C12EB">
        <w:rPr>
          <w:lang w:val="es-ES"/>
        </w:rPr>
        <w:t>La UR menciona que es necesario realizar una consulta sobre el grado de satisfacción de los beneficiarios del programa y aporte de sugerencias para atender las situaciones de mejora, de acuerdo a las necesidades específicas del centro escolar.</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0056B2EF" w14:textId="77777777" w:rsidR="002C12EB" w:rsidRDefault="002C12EB" w:rsidP="002C12EB">
      <w:pPr>
        <w:pStyle w:val="Prrafodelista"/>
        <w:numPr>
          <w:ilvl w:val="0"/>
          <w:numId w:val="2"/>
        </w:numPr>
        <w:spacing w:after="0" w:line="276" w:lineRule="auto"/>
        <w:jc w:val="both"/>
      </w:pPr>
      <w:r>
        <w:t>Reestructurar la MIR para ejercicios posteriores (respecto a su componente 2 y actividades).</w:t>
      </w:r>
    </w:p>
    <w:p w14:paraId="191B3199" w14:textId="77777777" w:rsidR="002C12EB" w:rsidRDefault="002C12EB" w:rsidP="002C12EB">
      <w:pPr>
        <w:pStyle w:val="Prrafodelista"/>
        <w:numPr>
          <w:ilvl w:val="0"/>
          <w:numId w:val="2"/>
        </w:numPr>
        <w:spacing w:after="0" w:line="276" w:lineRule="auto"/>
        <w:jc w:val="both"/>
      </w:pPr>
      <w:r>
        <w:t>Manejar un buzón de quejas y denuncias.</w:t>
      </w:r>
    </w:p>
    <w:p w14:paraId="434A8BF5" w14:textId="77777777" w:rsidR="002C12EB" w:rsidRDefault="002C12EB" w:rsidP="002C12EB">
      <w:pPr>
        <w:pStyle w:val="Prrafodelista"/>
        <w:numPr>
          <w:ilvl w:val="0"/>
          <w:numId w:val="2"/>
        </w:numPr>
        <w:spacing w:after="0" w:line="276" w:lineRule="auto"/>
        <w:jc w:val="both"/>
      </w:pPr>
      <w:r>
        <w:t>Realizar una encuesta de satisfacción de beneficiarios.</w:t>
      </w:r>
    </w:p>
    <w:p w14:paraId="1DE801E4" w14:textId="77777777" w:rsidR="002C12EB" w:rsidRDefault="002C12EB" w:rsidP="002C12EB">
      <w:pPr>
        <w:pStyle w:val="Prrafodelista"/>
        <w:numPr>
          <w:ilvl w:val="0"/>
          <w:numId w:val="2"/>
        </w:numPr>
        <w:spacing w:after="0" w:line="276" w:lineRule="auto"/>
        <w:jc w:val="both"/>
      </w:pPr>
      <w:r>
        <w:t>Llevar a cabo una estrategia de cobertura y que los reportes coincidan los tipos de poblaciones.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6BDDDD81" w:rsidR="007C4CD6" w:rsidRPr="00521401" w:rsidRDefault="002C12EB" w:rsidP="00521401">
            <w:pPr>
              <w:spacing w:after="0" w:line="276" w:lineRule="auto"/>
              <w:ind w:left="179"/>
            </w:pPr>
            <w:r>
              <w:t>Telebachillerato Comunitario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51994A6" w:rsidR="007C4CD6" w:rsidRPr="007C4CD6" w:rsidRDefault="002C12EB" w:rsidP="00521401">
            <w:pPr>
              <w:spacing w:after="0" w:line="276" w:lineRule="auto"/>
              <w:ind w:left="179"/>
            </w:pPr>
            <w:r>
              <w:t>T</w:t>
            </w:r>
            <w:r w:rsidR="00EC784A">
              <w:t>B</w:t>
            </w:r>
            <w:r>
              <w:t>C</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32A3367" w:rsidR="007C4CD6" w:rsidRPr="007C4CD6" w:rsidRDefault="002C12EB" w:rsidP="00521401">
            <w:pPr>
              <w:spacing w:after="0" w:line="276" w:lineRule="auto"/>
              <w:ind w:left="179"/>
            </w:pPr>
            <w:r>
              <w:t>Secretaría de Educación Pública y Cultura (SEPyC)</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6A647DDB" w:rsidR="005A28B9" w:rsidRPr="00A16BE7" w:rsidRDefault="002C12EB"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EC784A">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016870D0" w:rsidR="00090637" w:rsidRPr="00090637" w:rsidRDefault="00EC784A"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EC784A">
        <w:trPr>
          <w:trHeight w:val="340"/>
        </w:trPr>
        <w:tc>
          <w:tcPr>
            <w:tcW w:w="9910" w:type="dxa"/>
            <w:gridSpan w:val="3"/>
            <w:shd w:val="clear" w:color="auto" w:fill="auto"/>
          </w:tcPr>
          <w:p w14:paraId="7091B8EA" w14:textId="2DD07829" w:rsidR="005065B9" w:rsidRPr="00521401" w:rsidRDefault="00EC784A" w:rsidP="005065B9">
            <w:pPr>
              <w:spacing w:after="0" w:line="276" w:lineRule="auto"/>
              <w:ind w:left="179"/>
            </w:pPr>
            <w:r w:rsidRPr="00EC784A">
              <w:t>MC. José Luis Pérez Peñuelas, Coordinador Estatal de Telebachillerato Comunitario</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lastRenderedPageBreak/>
              <w:t>Correo Electrónico:</w:t>
            </w:r>
          </w:p>
        </w:tc>
      </w:tr>
      <w:tr w:rsidR="00A4624B" w14:paraId="6370D0DF" w14:textId="77777777" w:rsidTr="00EC784A">
        <w:trPr>
          <w:trHeight w:val="340"/>
        </w:trPr>
        <w:tc>
          <w:tcPr>
            <w:tcW w:w="9910" w:type="dxa"/>
            <w:gridSpan w:val="3"/>
            <w:shd w:val="clear" w:color="auto" w:fill="auto"/>
          </w:tcPr>
          <w:p w14:paraId="54E4AA94" w14:textId="0E6218BA" w:rsidR="00A4624B" w:rsidRPr="007301C5" w:rsidRDefault="00EC784A" w:rsidP="00A4624B">
            <w:pPr>
              <w:spacing w:after="0" w:line="276" w:lineRule="auto"/>
              <w:ind w:left="179"/>
            </w:pPr>
            <w:hyperlink r:id="rId9" w:history="1">
              <w:r w:rsidRPr="00AE3526">
                <w:rPr>
                  <w:rStyle w:val="Hipervnculo"/>
                </w:rPr>
                <w:t>cordinaciontbcsin@gmail.com</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EC784A">
        <w:trPr>
          <w:trHeight w:val="340"/>
        </w:trPr>
        <w:tc>
          <w:tcPr>
            <w:tcW w:w="9910" w:type="dxa"/>
            <w:gridSpan w:val="3"/>
            <w:shd w:val="clear" w:color="auto" w:fill="auto"/>
            <w:vAlign w:val="center"/>
          </w:tcPr>
          <w:p w14:paraId="138DA773" w14:textId="0AA10C16" w:rsidR="004E1FF7" w:rsidRPr="007301C5" w:rsidRDefault="00EC784A" w:rsidP="004E1FF7">
            <w:pPr>
              <w:spacing w:after="0" w:line="276" w:lineRule="auto"/>
              <w:ind w:left="179"/>
            </w:pPr>
            <w:r w:rsidRPr="00EC784A">
              <w:t>Coordinación Estatal del Programa Telebachillerato Comunitario</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EC784A">
        <w:trPr>
          <w:trHeight w:val="340"/>
        </w:trPr>
        <w:tc>
          <w:tcPr>
            <w:tcW w:w="9910" w:type="dxa"/>
            <w:gridSpan w:val="3"/>
            <w:shd w:val="clear" w:color="auto" w:fill="auto"/>
          </w:tcPr>
          <w:p w14:paraId="6F19C066" w14:textId="3AB8C8C9" w:rsidR="004E1FF7" w:rsidRPr="007301C5" w:rsidRDefault="00EC784A" w:rsidP="004E1FF7">
            <w:pPr>
              <w:spacing w:after="0" w:line="276" w:lineRule="auto"/>
              <w:ind w:left="179"/>
            </w:pPr>
            <w:r>
              <w:t>(</w:t>
            </w:r>
            <w:r w:rsidRPr="00EC784A">
              <w:t>667</w:t>
            </w:r>
            <w:r>
              <w:t xml:space="preserve">) </w:t>
            </w:r>
            <w:r w:rsidRPr="00EC784A">
              <w:t>846</w:t>
            </w:r>
            <w:r>
              <w:t xml:space="preserve"> </w:t>
            </w:r>
            <w:r w:rsidRPr="00EC784A">
              <w:t>42</w:t>
            </w:r>
            <w:r>
              <w:t xml:space="preserve"> </w:t>
            </w:r>
            <w:r w:rsidRPr="00EC784A">
              <w:t>00 Ext 6400</w:t>
            </w:r>
            <w:r>
              <w:t xml:space="preserve"> – </w:t>
            </w:r>
            <w:r w:rsidRPr="00EC784A">
              <w:t>6402</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5779CD6B" w:rsidR="00A06CEF" w:rsidRPr="00866990" w:rsidRDefault="002C12EB"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4640F35B" w:rsidR="00090637" w:rsidRPr="00866990" w:rsidRDefault="002C12EB" w:rsidP="002C12EB">
            <w:pPr>
              <w:spacing w:after="0" w:line="276" w:lineRule="auto"/>
              <w:ind w:left="179"/>
              <w:jc w:val="both"/>
            </w:pPr>
            <w:r w:rsidRPr="002C12EB">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0DA37982" w:rsidR="00090637" w:rsidRPr="00866990" w:rsidRDefault="002C12EB" w:rsidP="002C12EB">
            <w:pPr>
              <w:spacing w:after="0" w:line="276" w:lineRule="auto"/>
              <w:ind w:left="179"/>
              <w:jc w:val="both"/>
            </w:pPr>
            <w:r w:rsidRPr="002C12EB">
              <w:t>La evaluación se llevó a cabo a través de la Dirección de Evaluación adscrita a la Subsecretaria d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6C14DDC9" w:rsidR="004C435E" w:rsidRPr="00866990" w:rsidRDefault="002C12EB" w:rsidP="002C12EB">
            <w:pPr>
              <w:spacing w:after="0" w:line="276" w:lineRule="auto"/>
              <w:ind w:left="179"/>
              <w:jc w:val="both"/>
            </w:pPr>
            <w:r w:rsidRPr="002C12EB">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4805" w14:textId="77777777" w:rsidR="00F726D9" w:rsidRDefault="00F726D9" w:rsidP="008E5209">
      <w:pPr>
        <w:spacing w:after="0" w:line="240" w:lineRule="auto"/>
      </w:pPr>
      <w:r>
        <w:separator/>
      </w:r>
    </w:p>
  </w:endnote>
  <w:endnote w:type="continuationSeparator" w:id="0">
    <w:p w14:paraId="627900CD" w14:textId="77777777" w:rsidR="00F726D9" w:rsidRDefault="00F726D9"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EFC9" w14:textId="77777777" w:rsidR="00F726D9" w:rsidRDefault="00F726D9" w:rsidP="008E5209">
      <w:pPr>
        <w:spacing w:after="0" w:line="240" w:lineRule="auto"/>
      </w:pPr>
      <w:r>
        <w:separator/>
      </w:r>
    </w:p>
  </w:footnote>
  <w:footnote w:type="continuationSeparator" w:id="0">
    <w:p w14:paraId="3C332725" w14:textId="77777777" w:rsidR="00F726D9" w:rsidRDefault="00F726D9"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614903594">
    <w:abstractNumId w:val="23"/>
  </w:num>
  <w:num w:numId="2" w16cid:durableId="739837769">
    <w:abstractNumId w:val="21"/>
  </w:num>
  <w:num w:numId="3" w16cid:durableId="1339380815">
    <w:abstractNumId w:val="7"/>
  </w:num>
  <w:num w:numId="4" w16cid:durableId="857738202">
    <w:abstractNumId w:val="19"/>
  </w:num>
  <w:num w:numId="5" w16cid:durableId="1186820362">
    <w:abstractNumId w:val="2"/>
    <w:lvlOverride w:ilvl="1">
      <w:lvl w:ilvl="1">
        <w:start w:val="1"/>
        <w:numFmt w:val="decimal"/>
        <w:lvlText w:val="%1.%2."/>
        <w:lvlJc w:val="left"/>
        <w:pPr>
          <w:ind w:left="792" w:hanging="432"/>
        </w:pPr>
        <w:rPr>
          <w:b/>
        </w:rPr>
      </w:lvl>
    </w:lvlOverride>
  </w:num>
  <w:num w:numId="6" w16cid:durableId="370425682">
    <w:abstractNumId w:val="27"/>
  </w:num>
  <w:num w:numId="7" w16cid:durableId="586154945">
    <w:abstractNumId w:val="28"/>
  </w:num>
  <w:num w:numId="8" w16cid:durableId="782959203">
    <w:abstractNumId w:val="29"/>
  </w:num>
  <w:num w:numId="9" w16cid:durableId="902641184">
    <w:abstractNumId w:val="20"/>
  </w:num>
  <w:num w:numId="10" w16cid:durableId="1291857957">
    <w:abstractNumId w:val="12"/>
  </w:num>
  <w:num w:numId="11" w16cid:durableId="1432315672">
    <w:abstractNumId w:val="14"/>
  </w:num>
  <w:num w:numId="12" w16cid:durableId="581794882">
    <w:abstractNumId w:val="26"/>
  </w:num>
  <w:num w:numId="13" w16cid:durableId="1762800935">
    <w:abstractNumId w:val="25"/>
  </w:num>
  <w:num w:numId="14" w16cid:durableId="1498032387">
    <w:abstractNumId w:val="22"/>
  </w:num>
  <w:num w:numId="15" w16cid:durableId="1887764503">
    <w:abstractNumId w:val="16"/>
  </w:num>
  <w:num w:numId="16" w16cid:durableId="1727534898">
    <w:abstractNumId w:val="4"/>
  </w:num>
  <w:num w:numId="17" w16cid:durableId="702362945">
    <w:abstractNumId w:val="6"/>
  </w:num>
  <w:num w:numId="18" w16cid:durableId="1517961531">
    <w:abstractNumId w:val="17"/>
  </w:num>
  <w:num w:numId="19" w16cid:durableId="2100364246">
    <w:abstractNumId w:val="15"/>
  </w:num>
  <w:num w:numId="20" w16cid:durableId="1809778952">
    <w:abstractNumId w:val="5"/>
  </w:num>
  <w:num w:numId="21" w16cid:durableId="1666203828">
    <w:abstractNumId w:val="3"/>
  </w:num>
  <w:num w:numId="22" w16cid:durableId="1575361266">
    <w:abstractNumId w:val="13"/>
  </w:num>
  <w:num w:numId="23" w16cid:durableId="1514144647">
    <w:abstractNumId w:val="24"/>
  </w:num>
  <w:num w:numId="24" w16cid:durableId="16470562">
    <w:abstractNumId w:val="11"/>
  </w:num>
  <w:num w:numId="25" w16cid:durableId="76556690">
    <w:abstractNumId w:val="18"/>
  </w:num>
  <w:num w:numId="26" w16cid:durableId="1768378308">
    <w:abstractNumId w:val="8"/>
  </w:num>
  <w:num w:numId="27" w16cid:durableId="1018694818">
    <w:abstractNumId w:val="10"/>
  </w:num>
  <w:num w:numId="28" w16cid:durableId="764301991">
    <w:abstractNumId w:val="0"/>
  </w:num>
  <w:num w:numId="29" w16cid:durableId="839976174">
    <w:abstractNumId w:val="9"/>
  </w:num>
  <w:num w:numId="30" w16cid:durableId="112323354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12EB"/>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BB4"/>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075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C784A"/>
    <w:rsid w:val="00ED0FAB"/>
    <w:rsid w:val="00ED2843"/>
    <w:rsid w:val="00EE32E3"/>
    <w:rsid w:val="00F0320D"/>
    <w:rsid w:val="00F16821"/>
    <w:rsid w:val="00F16885"/>
    <w:rsid w:val="00F1797F"/>
    <w:rsid w:val="00F24D1A"/>
    <w:rsid w:val="00F2576D"/>
    <w:rsid w:val="00F26D0B"/>
    <w:rsid w:val="00F33E30"/>
    <w:rsid w:val="00F3495F"/>
    <w:rsid w:val="00F36ECC"/>
    <w:rsid w:val="00F46C22"/>
    <w:rsid w:val="00F51A08"/>
    <w:rsid w:val="00F55250"/>
    <w:rsid w:val="00F62EC5"/>
    <w:rsid w:val="00F638EF"/>
    <w:rsid w:val="00F726D9"/>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EC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dinaciontbcsi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54</TotalTime>
  <Pages>4</Pages>
  <Words>1251</Words>
  <Characters>6881</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2022-06-17T19:35:00Z</cp:lastPrinted>
  <dcterms:created xsi:type="dcterms:W3CDTF">2022-12-06T19:20:00Z</dcterms:created>
  <dcterms:modified xsi:type="dcterms:W3CDTF">2025-07-07T21:02:00Z</dcterms:modified>
</cp:coreProperties>
</file>